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0ED978C"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bookmarkStart w:id="0" w:name="_Hlk120185335"/>
      <w:r w:rsidR="005D0811" w:rsidRPr="001C6C02">
        <w:rPr>
          <w:b/>
          <w:i/>
          <w:noProof/>
          <w:sz w:val="28"/>
        </w:rPr>
        <w:t>R5-2</w:t>
      </w:r>
      <w:bookmarkEnd w:id="0"/>
      <w:r w:rsidR="00EC6FA7" w:rsidRPr="001C6C02">
        <w:rPr>
          <w:b/>
          <w:i/>
          <w:noProof/>
          <w:sz w:val="28"/>
        </w:rPr>
        <w:t>3</w:t>
      </w:r>
      <w:r w:rsidR="001C6C02">
        <w:rPr>
          <w:b/>
          <w:i/>
          <w:noProof/>
          <w:sz w:val="28"/>
        </w:rPr>
        <w:t>0216</w:t>
      </w:r>
    </w:p>
    <w:p w14:paraId="4491F182" w14:textId="273000BF" w:rsidR="00613F9B" w:rsidRPr="003079EF" w:rsidRDefault="00EC6FA7" w:rsidP="00613F9B">
      <w:pPr>
        <w:pStyle w:val="CRCoverPage"/>
        <w:outlineLvl w:val="0"/>
        <w:rPr>
          <w:rFonts w:cs="Arial"/>
          <w:b/>
          <w:bCs/>
          <w:noProof/>
          <w:sz w:val="24"/>
          <w:szCs w:val="24"/>
          <w:lang w:eastAsia="ja-JP"/>
        </w:rPr>
      </w:pPr>
      <w:r w:rsidRPr="007A45FB">
        <w:rPr>
          <w:b/>
          <w:noProof/>
          <w:sz w:val="24"/>
          <w:lang w:eastAsia="ja-JP"/>
        </w:rPr>
        <w:t>Athens, Greece, 27</w:t>
      </w:r>
      <w:r w:rsidRPr="007A45FB">
        <w:rPr>
          <w:b/>
          <w:noProof/>
          <w:sz w:val="24"/>
          <w:vertAlign w:val="superscript"/>
          <w:lang w:eastAsia="ja-JP"/>
        </w:rPr>
        <w:t>th</w:t>
      </w:r>
      <w:r w:rsidRPr="007A45FB">
        <w:rPr>
          <w:b/>
          <w:noProof/>
          <w:sz w:val="24"/>
          <w:lang w:eastAsia="ja-JP"/>
        </w:rPr>
        <w:t xml:space="preserve"> Feb – 3</w:t>
      </w:r>
      <w:r w:rsidRPr="007A45FB">
        <w:rPr>
          <w:b/>
          <w:noProof/>
          <w:sz w:val="24"/>
          <w:vertAlign w:val="superscript"/>
          <w:lang w:eastAsia="ja-JP"/>
        </w:rPr>
        <w:t>rd</w:t>
      </w:r>
      <w:r w:rsidRPr="007A45FB">
        <w:rPr>
          <w:b/>
          <w:noProof/>
          <w:sz w:val="24"/>
          <w:lang w:eastAsia="ja-JP"/>
        </w:rPr>
        <w:t xml:space="preserve"> Mar </w:t>
      </w:r>
      <w:r w:rsidRPr="007A45FB">
        <w:rPr>
          <w:rFonts w:hint="eastAsia"/>
          <w:b/>
          <w:noProof/>
          <w:sz w:val="24"/>
          <w:lang w:eastAsia="ja-JP"/>
        </w:rPr>
        <w:t>202</w:t>
      </w:r>
      <w:r w:rsidRPr="007A45FB">
        <w:rPr>
          <w:b/>
          <w:noProof/>
          <w:sz w:val="24"/>
          <w:lang w:eastAsia="ja-JP"/>
        </w:rPr>
        <w:t>3</w:t>
      </w:r>
    </w:p>
    <w:p w14:paraId="2DEACF2F" w14:textId="03D153DE"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300CEB" w:rsidRPr="00300CEB">
        <w:rPr>
          <w:rFonts w:eastAsia="ＭＳ 明朝"/>
          <w:b/>
        </w:rPr>
        <w:t>Testability analysis on ACS and IBB for FR2c</w:t>
      </w:r>
    </w:p>
    <w:p w14:paraId="241B1871" w14:textId="70FB39C9"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937BA5A" w14:textId="3C854362" w:rsidR="005F369C" w:rsidRDefault="005F369C" w:rsidP="00FA5638">
      <w:pPr>
        <w:spacing w:before="120" w:after="120"/>
        <w:rPr>
          <w:rFonts w:eastAsiaTheme="minorEastAsia"/>
        </w:rPr>
      </w:pPr>
      <w:r>
        <w:rPr>
          <w:rFonts w:eastAsiaTheme="minorEastAsia" w:hint="eastAsia"/>
        </w:rPr>
        <w:t>I</w:t>
      </w:r>
      <w:r>
        <w:rPr>
          <w:rFonts w:eastAsiaTheme="minorEastAsia"/>
        </w:rPr>
        <w:t xml:space="preserve">n </w:t>
      </w:r>
      <w:r w:rsidR="009C18B8">
        <w:rPr>
          <w:rFonts w:eastAsiaTheme="minorEastAsia"/>
        </w:rPr>
        <w:t>the past</w:t>
      </w:r>
      <w:r>
        <w:rPr>
          <w:rFonts w:eastAsiaTheme="minorEastAsia"/>
        </w:rPr>
        <w:t xml:space="preserve"> discussion [1], </w:t>
      </w:r>
      <w:r w:rsidR="009C18B8">
        <w:rPr>
          <w:rFonts w:eastAsiaTheme="minorEastAsia"/>
        </w:rPr>
        <w:t>testability</w:t>
      </w:r>
      <w:r>
        <w:rPr>
          <w:rFonts w:eastAsiaTheme="minorEastAsia"/>
        </w:rPr>
        <w:t xml:space="preserve"> of ACS and IBB was </w:t>
      </w:r>
      <w:r w:rsidR="009C18B8">
        <w:rPr>
          <w:rFonts w:eastAsiaTheme="minorEastAsia"/>
        </w:rPr>
        <w:t>discussed,</w:t>
      </w:r>
      <w:r>
        <w:rPr>
          <w:rFonts w:eastAsiaTheme="minorEastAsia"/>
        </w:rPr>
        <w:t xml:space="preserve"> and relaxation value was agreed for FR2a (n258/n257/n261) and FR2b (n260). This paper expands the testability discussion to FR2c (n259).</w:t>
      </w:r>
      <w:r w:rsidR="00BE1ADF">
        <w:rPr>
          <w:rFonts w:eastAsiaTheme="minorEastAsia"/>
        </w:rPr>
        <w:t xml:space="preserve"> Unless otherwise commented, observations and proposals in this paper is for PC3.</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8EABD0C" w14:textId="3A363C0F" w:rsidR="000E2E89" w:rsidRDefault="00053DD1" w:rsidP="0092372E">
      <w:pPr>
        <w:spacing w:before="120" w:after="120"/>
        <w:rPr>
          <w:rFonts w:eastAsiaTheme="minorEastAsia"/>
        </w:rPr>
      </w:pPr>
      <w:bookmarkStart w:id="1" w:name="_Hlk60670583"/>
      <w:r>
        <w:rPr>
          <w:rFonts w:eastAsiaTheme="minorEastAsia"/>
        </w:rPr>
        <w:t>In our analysis</w:t>
      </w:r>
      <w:r w:rsidR="00BA2DCF">
        <w:rPr>
          <w:rFonts w:eastAsiaTheme="minorEastAsia"/>
        </w:rPr>
        <w:t xml:space="preserve">, </w:t>
      </w:r>
      <w:r w:rsidR="00BA2DCF" w:rsidRPr="00896D59">
        <w:rPr>
          <w:rFonts w:eastAsiaTheme="minorEastAsia"/>
        </w:rPr>
        <w:t xml:space="preserve">the available </w:t>
      </w:r>
      <w:r w:rsidR="002823ED">
        <w:rPr>
          <w:rFonts w:eastAsiaTheme="minorEastAsia"/>
        </w:rPr>
        <w:t>interferer</w:t>
      </w:r>
      <w:r w:rsidR="00BA2DCF" w:rsidRPr="00896D59">
        <w:rPr>
          <w:rFonts w:eastAsiaTheme="minorEastAsia"/>
        </w:rPr>
        <w:t xml:space="preserve"> level at the center of the quiet zone for FR2c receiver tests is </w:t>
      </w:r>
      <w:r w:rsidR="003F7DDF">
        <w:rPr>
          <w:rFonts w:eastAsiaTheme="minorEastAsia"/>
        </w:rPr>
        <w:t>1</w:t>
      </w:r>
      <w:r w:rsidR="003F7DDF" w:rsidRPr="00896D59">
        <w:rPr>
          <w:rFonts w:eastAsiaTheme="minorEastAsia"/>
        </w:rPr>
        <w:t xml:space="preserve"> </w:t>
      </w:r>
      <w:r w:rsidR="00BA2DCF" w:rsidRPr="00896D59">
        <w:rPr>
          <w:rFonts w:eastAsiaTheme="minorEastAsia"/>
        </w:rPr>
        <w:t>dB lower than that for FR2b</w:t>
      </w:r>
      <w:r>
        <w:rPr>
          <w:rFonts w:eastAsiaTheme="minorEastAsia"/>
        </w:rPr>
        <w:t xml:space="preserve"> due to the higher frequency</w:t>
      </w:r>
      <w:r w:rsidR="00BA2DCF">
        <w:rPr>
          <w:rFonts w:eastAsiaTheme="minorEastAsia"/>
        </w:rPr>
        <w:t xml:space="preserve">. The following table shows </w:t>
      </w:r>
      <w:r w:rsidR="000E2E89">
        <w:rPr>
          <w:rFonts w:eastAsiaTheme="minorEastAsia"/>
        </w:rPr>
        <w:t xml:space="preserve">the </w:t>
      </w:r>
      <w:r w:rsidR="00BA2DCF">
        <w:rPr>
          <w:rFonts w:eastAsiaTheme="minorEastAsia"/>
        </w:rPr>
        <w:t>available</w:t>
      </w:r>
      <w:r w:rsidR="000E2E89">
        <w:rPr>
          <w:rFonts w:eastAsiaTheme="minorEastAsia"/>
        </w:rPr>
        <w:t xml:space="preserve"> </w:t>
      </w:r>
      <w:r w:rsidR="002823ED">
        <w:rPr>
          <w:rFonts w:eastAsiaTheme="minorEastAsia"/>
        </w:rPr>
        <w:t>interferer</w:t>
      </w:r>
      <w:r w:rsidR="000E2E89">
        <w:rPr>
          <w:rFonts w:eastAsiaTheme="minorEastAsia"/>
        </w:rPr>
        <w:t xml:space="preserve"> level </w:t>
      </w:r>
      <w:r w:rsidR="00BA2DCF">
        <w:rPr>
          <w:rFonts w:eastAsiaTheme="minorEastAsia"/>
        </w:rPr>
        <w:t>and required</w:t>
      </w:r>
      <w:r w:rsidR="000E2E89">
        <w:rPr>
          <w:rFonts w:eastAsiaTheme="minorEastAsia"/>
        </w:rPr>
        <w:t xml:space="preserve"> relaxation value</w:t>
      </w:r>
      <w:r w:rsidR="00BA2DCF">
        <w:rPr>
          <w:rFonts w:eastAsiaTheme="minorEastAsia"/>
        </w:rPr>
        <w:t>s</w:t>
      </w:r>
      <w:r w:rsidR="000E2E89">
        <w:rPr>
          <w:rFonts w:eastAsiaTheme="minorEastAsia"/>
        </w:rPr>
        <w:t xml:space="preserve"> for ACS (Case 1) and IBB. Note that the </w:t>
      </w:r>
      <w:r w:rsidR="008F3315">
        <w:rPr>
          <w:rFonts w:eastAsiaTheme="minorEastAsia"/>
        </w:rPr>
        <w:t xml:space="preserve">core requirements for </w:t>
      </w:r>
      <w:r w:rsidR="000E2E89">
        <w:rPr>
          <w:rFonts w:eastAsiaTheme="minorEastAsia"/>
        </w:rPr>
        <w:t xml:space="preserve">ACS (Case 2) </w:t>
      </w:r>
      <w:r w:rsidR="008F3315">
        <w:rPr>
          <w:rFonts w:eastAsiaTheme="minorEastAsia"/>
        </w:rPr>
        <w:t xml:space="preserve">are not testable in FR2c due to unachievable </w:t>
      </w:r>
      <w:r w:rsidR="002823ED">
        <w:rPr>
          <w:rFonts w:eastAsiaTheme="minorEastAsia"/>
        </w:rPr>
        <w:t>interferer</w:t>
      </w:r>
      <w:r w:rsidR="008F3315">
        <w:rPr>
          <w:rFonts w:eastAsiaTheme="minorEastAsia"/>
        </w:rPr>
        <w:t xml:space="preserve"> level in IFF OTA test setup as same as FR2a and FR2b.</w:t>
      </w:r>
    </w:p>
    <w:p w14:paraId="6865A661" w14:textId="6FE581FB" w:rsidR="000E2E89" w:rsidRPr="00BF77E4" w:rsidRDefault="000E2E89" w:rsidP="000E2E89">
      <w:pPr>
        <w:pStyle w:val="af3"/>
        <w:jc w:val="center"/>
      </w:pPr>
      <w:bookmarkStart w:id="2" w:name="_Ref126230353"/>
      <w:r w:rsidRPr="008C6C0C">
        <w:t xml:space="preserve">Table </w:t>
      </w:r>
      <w:fldSimple w:instr=" SEQ Table \* ARABIC ">
        <w:r w:rsidR="008F3315">
          <w:rPr>
            <w:noProof/>
          </w:rPr>
          <w:t>1</w:t>
        </w:r>
      </w:fldSimple>
      <w:bookmarkEnd w:id="2"/>
      <w:r w:rsidRPr="008C6C0C">
        <w:t xml:space="preserve"> </w:t>
      </w:r>
      <w:r w:rsidR="008F3315">
        <w:t>Testability analysis on ACS (Case 1) and IBB for FR2c</w:t>
      </w:r>
    </w:p>
    <w:tbl>
      <w:tblPr>
        <w:tblStyle w:val="aff5"/>
        <w:tblW w:w="5328" w:type="dxa"/>
        <w:jc w:val="center"/>
        <w:tblLayout w:type="fixed"/>
        <w:tblCellMar>
          <w:left w:w="0" w:type="dxa"/>
          <w:right w:w="0" w:type="dxa"/>
        </w:tblCellMar>
        <w:tblLook w:val="04A0" w:firstRow="1" w:lastRow="0" w:firstColumn="1" w:lastColumn="0" w:noHBand="0" w:noVBand="1"/>
      </w:tblPr>
      <w:tblGrid>
        <w:gridCol w:w="680"/>
        <w:gridCol w:w="1020"/>
        <w:gridCol w:w="907"/>
        <w:gridCol w:w="907"/>
        <w:gridCol w:w="907"/>
        <w:gridCol w:w="907"/>
      </w:tblGrid>
      <w:tr w:rsidR="001772D9" w:rsidRPr="007D7071" w14:paraId="1F958F63" w14:textId="77777777" w:rsidTr="001772D9">
        <w:trPr>
          <w:trHeight w:val="170"/>
          <w:jc w:val="center"/>
        </w:trPr>
        <w:tc>
          <w:tcPr>
            <w:tcW w:w="680" w:type="dxa"/>
            <w:vMerge w:val="restart"/>
            <w:tcBorders>
              <w:right w:val="single" w:sz="4" w:space="0" w:color="auto"/>
            </w:tcBorders>
            <w:vAlign w:val="center"/>
          </w:tcPr>
          <w:p w14:paraId="0FF8800B" w14:textId="5605E7C5" w:rsidR="001772D9" w:rsidRDefault="001772D9" w:rsidP="001772D9">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B</w:t>
            </w:r>
            <w:r>
              <w:rPr>
                <w:rFonts w:ascii="Arial" w:eastAsiaTheme="minorEastAsia" w:hAnsi="Arial" w:cs="Arial"/>
                <w:b/>
                <w:bCs/>
                <w:sz w:val="18"/>
                <w:szCs w:val="18"/>
              </w:rPr>
              <w:t>and</w:t>
            </w:r>
          </w:p>
        </w:tc>
        <w:tc>
          <w:tcPr>
            <w:tcW w:w="1020" w:type="dxa"/>
            <w:vMerge w:val="restart"/>
            <w:tcBorders>
              <w:right w:val="single" w:sz="4" w:space="0" w:color="auto"/>
            </w:tcBorders>
            <w:vAlign w:val="center"/>
          </w:tcPr>
          <w:p w14:paraId="71E261D7" w14:textId="4DAACF09" w:rsidR="001772D9" w:rsidRDefault="001772D9" w:rsidP="001772D9">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 xml:space="preserve">Available </w:t>
            </w:r>
            <w:r w:rsidR="002823ED">
              <w:rPr>
                <w:rFonts w:ascii="Arial" w:eastAsiaTheme="minorEastAsia" w:hAnsi="Arial" w:cs="Arial"/>
                <w:b/>
                <w:bCs/>
                <w:sz w:val="18"/>
                <w:szCs w:val="18"/>
              </w:rPr>
              <w:t>interferer</w:t>
            </w:r>
            <w:r>
              <w:rPr>
                <w:rFonts w:ascii="Arial" w:eastAsiaTheme="minorEastAsia" w:hAnsi="Arial" w:cs="Arial"/>
                <w:b/>
                <w:bCs/>
                <w:sz w:val="18"/>
                <w:szCs w:val="18"/>
              </w:rPr>
              <w:t xml:space="preserve"> level [dBm]</w:t>
            </w:r>
          </w:p>
        </w:tc>
        <w:tc>
          <w:tcPr>
            <w:tcW w:w="1814" w:type="dxa"/>
            <w:gridSpan w:val="2"/>
            <w:tcBorders>
              <w:left w:val="single" w:sz="4" w:space="0" w:color="auto"/>
              <w:right w:val="single" w:sz="4" w:space="0" w:color="auto"/>
            </w:tcBorders>
            <w:vAlign w:val="center"/>
          </w:tcPr>
          <w:p w14:paraId="18BBC516" w14:textId="77777777" w:rsidR="001772D9" w:rsidRDefault="001772D9" w:rsidP="008F331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Required interferer level [dBm] [2]</w:t>
            </w:r>
          </w:p>
        </w:tc>
        <w:tc>
          <w:tcPr>
            <w:tcW w:w="1814" w:type="dxa"/>
            <w:gridSpan w:val="2"/>
            <w:tcBorders>
              <w:left w:val="single" w:sz="4" w:space="0" w:color="auto"/>
              <w:right w:val="single" w:sz="4" w:space="0" w:color="auto"/>
            </w:tcBorders>
            <w:vAlign w:val="center"/>
          </w:tcPr>
          <w:p w14:paraId="35272320" w14:textId="10CF5C74" w:rsidR="001772D9" w:rsidRDefault="002823ED" w:rsidP="008F331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 xml:space="preserve">Required relaxation </w:t>
            </w:r>
            <w:r w:rsidR="001772D9">
              <w:rPr>
                <w:rFonts w:ascii="Arial" w:eastAsiaTheme="minorEastAsia" w:hAnsi="Arial" w:cs="Arial"/>
                <w:b/>
                <w:bCs/>
                <w:sz w:val="18"/>
                <w:szCs w:val="18"/>
              </w:rPr>
              <w:t>[dB]</w:t>
            </w:r>
          </w:p>
        </w:tc>
      </w:tr>
      <w:tr w:rsidR="001772D9" w:rsidRPr="007D7071" w14:paraId="2D2C868F" w14:textId="1A9081EE" w:rsidTr="001772D9">
        <w:trPr>
          <w:trHeight w:val="340"/>
          <w:jc w:val="center"/>
        </w:trPr>
        <w:tc>
          <w:tcPr>
            <w:tcW w:w="680" w:type="dxa"/>
            <w:vMerge/>
            <w:tcBorders>
              <w:right w:val="single" w:sz="4" w:space="0" w:color="auto"/>
            </w:tcBorders>
            <w:vAlign w:val="center"/>
          </w:tcPr>
          <w:p w14:paraId="11196947" w14:textId="22CFFB6B" w:rsidR="001772D9" w:rsidRDefault="001772D9" w:rsidP="001772D9">
            <w:pPr>
              <w:spacing w:beforeLines="0" w:before="0" w:afterLines="0" w:after="0"/>
              <w:jc w:val="center"/>
              <w:rPr>
                <w:rFonts w:ascii="Arial" w:eastAsiaTheme="minorEastAsia" w:hAnsi="Arial" w:cs="Arial"/>
                <w:b/>
                <w:bCs/>
                <w:sz w:val="18"/>
                <w:szCs w:val="18"/>
              </w:rPr>
            </w:pPr>
          </w:p>
        </w:tc>
        <w:tc>
          <w:tcPr>
            <w:tcW w:w="1020" w:type="dxa"/>
            <w:vMerge/>
            <w:tcBorders>
              <w:right w:val="single" w:sz="4" w:space="0" w:color="auto"/>
            </w:tcBorders>
            <w:vAlign w:val="center"/>
          </w:tcPr>
          <w:p w14:paraId="1EACD0B3" w14:textId="781AE0BC" w:rsidR="001772D9" w:rsidRDefault="001772D9" w:rsidP="008F3315">
            <w:pPr>
              <w:spacing w:beforeLines="0" w:before="0" w:afterLines="0" w:after="0"/>
              <w:jc w:val="center"/>
              <w:rPr>
                <w:rFonts w:ascii="Arial" w:eastAsiaTheme="minorEastAsia" w:hAnsi="Arial" w:cs="Arial"/>
                <w:b/>
                <w:bCs/>
                <w:sz w:val="18"/>
                <w:szCs w:val="18"/>
              </w:rPr>
            </w:pPr>
          </w:p>
        </w:tc>
        <w:tc>
          <w:tcPr>
            <w:tcW w:w="907" w:type="dxa"/>
            <w:tcBorders>
              <w:left w:val="single" w:sz="4" w:space="0" w:color="auto"/>
              <w:right w:val="single" w:sz="4" w:space="0" w:color="auto"/>
            </w:tcBorders>
            <w:vAlign w:val="center"/>
          </w:tcPr>
          <w:p w14:paraId="388FAE4D" w14:textId="39ECE1D3" w:rsidR="001772D9" w:rsidRPr="00045770" w:rsidRDefault="001772D9" w:rsidP="008F331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ChBW</w:t>
            </w:r>
          </w:p>
        </w:tc>
        <w:tc>
          <w:tcPr>
            <w:tcW w:w="907" w:type="dxa"/>
            <w:tcBorders>
              <w:left w:val="single" w:sz="4" w:space="0" w:color="auto"/>
              <w:right w:val="single" w:sz="4" w:space="0" w:color="auto"/>
            </w:tcBorders>
            <w:vAlign w:val="center"/>
          </w:tcPr>
          <w:p w14:paraId="375E52DA" w14:textId="4160FA15" w:rsidR="001772D9" w:rsidRDefault="001772D9" w:rsidP="008F331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 ChBW</w:t>
            </w:r>
          </w:p>
        </w:tc>
        <w:tc>
          <w:tcPr>
            <w:tcW w:w="907" w:type="dxa"/>
            <w:tcBorders>
              <w:left w:val="single" w:sz="4" w:space="0" w:color="auto"/>
              <w:right w:val="single" w:sz="4" w:space="0" w:color="auto"/>
            </w:tcBorders>
            <w:vAlign w:val="center"/>
          </w:tcPr>
          <w:p w14:paraId="3448A723" w14:textId="440E5ACC" w:rsidR="001772D9" w:rsidRDefault="001772D9" w:rsidP="008F331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ChBW</w:t>
            </w:r>
          </w:p>
        </w:tc>
        <w:tc>
          <w:tcPr>
            <w:tcW w:w="907" w:type="dxa"/>
            <w:tcBorders>
              <w:left w:val="single" w:sz="4" w:space="0" w:color="auto"/>
              <w:right w:val="single" w:sz="4" w:space="0" w:color="auto"/>
            </w:tcBorders>
            <w:vAlign w:val="center"/>
          </w:tcPr>
          <w:p w14:paraId="35953313" w14:textId="75BE0E6F" w:rsidR="001772D9" w:rsidRDefault="001772D9" w:rsidP="008F331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 ChBW</w:t>
            </w:r>
          </w:p>
        </w:tc>
      </w:tr>
      <w:tr w:rsidR="001772D9" w:rsidRPr="005456B1" w14:paraId="120F70A3" w14:textId="7695B493" w:rsidTr="001772D9">
        <w:trPr>
          <w:trHeight w:val="60"/>
          <w:jc w:val="center"/>
        </w:trPr>
        <w:tc>
          <w:tcPr>
            <w:tcW w:w="680" w:type="dxa"/>
            <w:tcBorders>
              <w:right w:val="single" w:sz="4" w:space="0" w:color="auto"/>
            </w:tcBorders>
            <w:vAlign w:val="center"/>
          </w:tcPr>
          <w:p w14:paraId="72F971F2" w14:textId="4DB18250" w:rsidR="001772D9" w:rsidRDefault="00B05591" w:rsidP="001772D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FR2b (</w:t>
            </w:r>
            <w:r w:rsidR="001772D9">
              <w:rPr>
                <w:rFonts w:ascii="Arial" w:eastAsiaTheme="minorEastAsia" w:hAnsi="Arial" w:cs="Arial" w:hint="eastAsia"/>
                <w:sz w:val="18"/>
                <w:szCs w:val="18"/>
              </w:rPr>
              <w:t>n</w:t>
            </w:r>
            <w:r w:rsidR="001772D9">
              <w:rPr>
                <w:rFonts w:ascii="Arial" w:eastAsiaTheme="minorEastAsia" w:hAnsi="Arial" w:cs="Arial"/>
                <w:sz w:val="18"/>
                <w:szCs w:val="18"/>
              </w:rPr>
              <w:t>260</w:t>
            </w:r>
            <w:r>
              <w:rPr>
                <w:rFonts w:ascii="Arial" w:eastAsiaTheme="minorEastAsia" w:hAnsi="Arial" w:cs="Arial"/>
                <w:sz w:val="18"/>
                <w:szCs w:val="18"/>
              </w:rPr>
              <w:t>)</w:t>
            </w:r>
          </w:p>
        </w:tc>
        <w:tc>
          <w:tcPr>
            <w:tcW w:w="1020" w:type="dxa"/>
            <w:tcBorders>
              <w:right w:val="single" w:sz="4" w:space="0" w:color="auto"/>
            </w:tcBorders>
            <w:vAlign w:val="center"/>
          </w:tcPr>
          <w:p w14:paraId="6C12A0A1" w14:textId="274C7CEC" w:rsidR="001772D9" w:rsidRDefault="001772D9" w:rsidP="008F3315">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w:t>
            </w:r>
          </w:p>
        </w:tc>
        <w:tc>
          <w:tcPr>
            <w:tcW w:w="907" w:type="dxa"/>
            <w:tcBorders>
              <w:left w:val="single" w:sz="4" w:space="0" w:color="auto"/>
              <w:right w:val="single" w:sz="4" w:space="0" w:color="auto"/>
            </w:tcBorders>
            <w:vAlign w:val="center"/>
          </w:tcPr>
          <w:p w14:paraId="21A93321" w14:textId="3E31C215" w:rsidR="001772D9" w:rsidRPr="00BF7050" w:rsidRDefault="001772D9" w:rsidP="008F3315">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54.2</w:t>
            </w:r>
          </w:p>
        </w:tc>
        <w:tc>
          <w:tcPr>
            <w:tcW w:w="907" w:type="dxa"/>
            <w:tcBorders>
              <w:left w:val="single" w:sz="4" w:space="0" w:color="auto"/>
              <w:right w:val="single" w:sz="4" w:space="0" w:color="auto"/>
            </w:tcBorders>
            <w:vAlign w:val="center"/>
          </w:tcPr>
          <w:p w14:paraId="79C6E660" w14:textId="298B815A" w:rsidR="001772D9" w:rsidRPr="00BF7050" w:rsidRDefault="001772D9" w:rsidP="008F3315">
            <w:pPr>
              <w:adjustRightInd/>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51.2</w:t>
            </w:r>
          </w:p>
        </w:tc>
        <w:tc>
          <w:tcPr>
            <w:tcW w:w="907" w:type="dxa"/>
            <w:tcBorders>
              <w:left w:val="single" w:sz="4" w:space="0" w:color="auto"/>
              <w:right w:val="single" w:sz="4" w:space="0" w:color="auto"/>
            </w:tcBorders>
            <w:vAlign w:val="center"/>
          </w:tcPr>
          <w:p w14:paraId="65C0FC9D" w14:textId="1A0CB1D6" w:rsidR="001772D9" w:rsidRPr="001772D9" w:rsidRDefault="001772D9" w:rsidP="008F331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w:t>
            </w:r>
          </w:p>
        </w:tc>
        <w:tc>
          <w:tcPr>
            <w:tcW w:w="907" w:type="dxa"/>
            <w:tcBorders>
              <w:left w:val="single" w:sz="4" w:space="0" w:color="auto"/>
              <w:right w:val="single" w:sz="4" w:space="0" w:color="auto"/>
            </w:tcBorders>
            <w:vAlign w:val="center"/>
          </w:tcPr>
          <w:p w14:paraId="05D390B7" w14:textId="1A3AE4E9" w:rsidR="001772D9" w:rsidRPr="001772D9" w:rsidRDefault="001772D9" w:rsidP="008F331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.8</w:t>
            </w:r>
          </w:p>
        </w:tc>
      </w:tr>
      <w:tr w:rsidR="001772D9" w:rsidRPr="005456B1" w14:paraId="4BE88E56" w14:textId="77777777" w:rsidTr="009C18B8">
        <w:trPr>
          <w:trHeight w:val="60"/>
          <w:jc w:val="center"/>
        </w:trPr>
        <w:tc>
          <w:tcPr>
            <w:tcW w:w="680" w:type="dxa"/>
            <w:tcBorders>
              <w:bottom w:val="single" w:sz="4" w:space="0" w:color="auto"/>
              <w:right w:val="single" w:sz="4" w:space="0" w:color="auto"/>
            </w:tcBorders>
            <w:vAlign w:val="center"/>
          </w:tcPr>
          <w:p w14:paraId="673BE75A" w14:textId="21641364" w:rsidR="001772D9" w:rsidRDefault="00B05591" w:rsidP="001772D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FR2c (</w:t>
            </w:r>
            <w:r w:rsidR="001772D9">
              <w:rPr>
                <w:rFonts w:ascii="Arial" w:eastAsiaTheme="minorEastAsia" w:hAnsi="Arial" w:cs="Arial" w:hint="eastAsia"/>
                <w:sz w:val="18"/>
                <w:szCs w:val="18"/>
              </w:rPr>
              <w:t>n</w:t>
            </w:r>
            <w:r w:rsidR="001772D9">
              <w:rPr>
                <w:rFonts w:ascii="Arial" w:eastAsiaTheme="minorEastAsia" w:hAnsi="Arial" w:cs="Arial"/>
                <w:sz w:val="18"/>
                <w:szCs w:val="18"/>
              </w:rPr>
              <w:t>259</w:t>
            </w:r>
            <w:r>
              <w:rPr>
                <w:rFonts w:ascii="Arial" w:eastAsiaTheme="minorEastAsia" w:hAnsi="Arial" w:cs="Arial"/>
                <w:sz w:val="18"/>
                <w:szCs w:val="18"/>
              </w:rPr>
              <w:t>)</w:t>
            </w:r>
          </w:p>
        </w:tc>
        <w:tc>
          <w:tcPr>
            <w:tcW w:w="1020" w:type="dxa"/>
            <w:tcBorders>
              <w:bottom w:val="single" w:sz="4" w:space="0" w:color="auto"/>
              <w:right w:val="single" w:sz="4" w:space="0" w:color="auto"/>
            </w:tcBorders>
            <w:shd w:val="clear" w:color="auto" w:fill="auto"/>
            <w:vAlign w:val="center"/>
          </w:tcPr>
          <w:p w14:paraId="00275625" w14:textId="5130F093" w:rsidR="001772D9" w:rsidRDefault="003F7DDF" w:rsidP="008F331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57</w:t>
            </w:r>
          </w:p>
        </w:tc>
        <w:tc>
          <w:tcPr>
            <w:tcW w:w="907" w:type="dxa"/>
            <w:tcBorders>
              <w:left w:val="single" w:sz="4" w:space="0" w:color="auto"/>
              <w:right w:val="single" w:sz="4" w:space="0" w:color="auto"/>
            </w:tcBorders>
            <w:shd w:val="clear" w:color="auto" w:fill="auto"/>
            <w:vAlign w:val="center"/>
          </w:tcPr>
          <w:p w14:paraId="002072E2" w14:textId="5B8A06FE" w:rsidR="001772D9" w:rsidRPr="00BF7050" w:rsidRDefault="00EF64DE" w:rsidP="008F331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53.2</w:t>
            </w:r>
          </w:p>
        </w:tc>
        <w:tc>
          <w:tcPr>
            <w:tcW w:w="907" w:type="dxa"/>
            <w:tcBorders>
              <w:left w:val="single" w:sz="4" w:space="0" w:color="auto"/>
              <w:right w:val="single" w:sz="4" w:space="0" w:color="auto"/>
            </w:tcBorders>
            <w:shd w:val="clear" w:color="auto" w:fill="auto"/>
            <w:vAlign w:val="center"/>
          </w:tcPr>
          <w:p w14:paraId="77E3E65F" w14:textId="69A1BD8F" w:rsidR="001772D9" w:rsidRPr="00BF7050" w:rsidRDefault="00EF64DE" w:rsidP="008F331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50.2</w:t>
            </w:r>
          </w:p>
        </w:tc>
        <w:tc>
          <w:tcPr>
            <w:tcW w:w="907" w:type="dxa"/>
            <w:tcBorders>
              <w:left w:val="single" w:sz="4" w:space="0" w:color="auto"/>
              <w:right w:val="single" w:sz="4" w:space="0" w:color="auto"/>
            </w:tcBorders>
            <w:shd w:val="clear" w:color="auto" w:fill="auto"/>
            <w:vAlign w:val="center"/>
          </w:tcPr>
          <w:p w14:paraId="1284B78A" w14:textId="568BD702" w:rsidR="001772D9" w:rsidRPr="003F7DDF" w:rsidRDefault="003F7DDF" w:rsidP="008F331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w:t>
            </w:r>
          </w:p>
        </w:tc>
        <w:tc>
          <w:tcPr>
            <w:tcW w:w="907" w:type="dxa"/>
            <w:tcBorders>
              <w:left w:val="single" w:sz="4" w:space="0" w:color="auto"/>
              <w:right w:val="single" w:sz="4" w:space="0" w:color="auto"/>
            </w:tcBorders>
            <w:shd w:val="clear" w:color="auto" w:fill="auto"/>
            <w:vAlign w:val="center"/>
          </w:tcPr>
          <w:p w14:paraId="0881D21F" w14:textId="377EB091" w:rsidR="001772D9" w:rsidRPr="003F7DDF" w:rsidRDefault="003F7DDF" w:rsidP="008F331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.8</w:t>
            </w:r>
          </w:p>
        </w:tc>
      </w:tr>
    </w:tbl>
    <w:p w14:paraId="2D4C32C6" w14:textId="7E1A79D2" w:rsidR="001772D9" w:rsidRDefault="001772D9" w:rsidP="001772D9">
      <w:pPr>
        <w:pStyle w:val="af3"/>
      </w:pPr>
      <w:bookmarkStart w:id="3" w:name="_Ref126344159"/>
      <w:r>
        <w:t xml:space="preserve">Observation </w:t>
      </w:r>
      <w:r w:rsidR="001C6C02">
        <w:fldChar w:fldCharType="begin"/>
      </w:r>
      <w:r w:rsidR="001C6C02">
        <w:instrText xml:space="preserve"> SEQ Observation \* ARABIC </w:instrText>
      </w:r>
      <w:r w:rsidR="001C6C02">
        <w:fldChar w:fldCharType="separate"/>
      </w:r>
      <w:r>
        <w:rPr>
          <w:noProof/>
        </w:rPr>
        <w:t>1</w:t>
      </w:r>
      <w:r w:rsidR="001C6C02">
        <w:rPr>
          <w:noProof/>
        </w:rPr>
        <w:fldChar w:fldCharType="end"/>
      </w:r>
      <w:r>
        <w:t xml:space="preserve">: </w:t>
      </w:r>
      <w:r w:rsidR="00274EEC">
        <w:t xml:space="preserve">-57 </w:t>
      </w:r>
      <w:r>
        <w:t xml:space="preserve">dBm is available for </w:t>
      </w:r>
      <w:r w:rsidR="002823ED">
        <w:t>interferer</w:t>
      </w:r>
      <w:r>
        <w:t xml:space="preserve"> level at the center of the quiet zone for FR2c receiver tests.</w:t>
      </w:r>
      <w:bookmarkEnd w:id="3"/>
    </w:p>
    <w:p w14:paraId="68A807C3" w14:textId="2C26EA39" w:rsidR="001772D9" w:rsidRDefault="001772D9" w:rsidP="001772D9">
      <w:pPr>
        <w:pStyle w:val="af3"/>
      </w:pPr>
      <w:bookmarkStart w:id="4" w:name="_Ref126344160"/>
      <w:r>
        <w:t xml:space="preserve">Observation </w:t>
      </w:r>
      <w:fldSimple w:instr=" SEQ Observation \* ARABIC ">
        <w:r>
          <w:rPr>
            <w:noProof/>
          </w:rPr>
          <w:t>2</w:t>
        </w:r>
      </w:fldSimple>
      <w:r>
        <w:t xml:space="preserve">: FR2c requires </w:t>
      </w:r>
      <w:r w:rsidR="00274EEC">
        <w:t xml:space="preserve">3.8 </w:t>
      </w:r>
      <w:r>
        <w:t xml:space="preserve">dB (50 MHz ChBW) and </w:t>
      </w:r>
      <w:r w:rsidR="00274EEC">
        <w:t xml:space="preserve">6.8 </w:t>
      </w:r>
      <w:r>
        <w:t xml:space="preserve">dB (100 MHz ChBW) for relaxation of the interferer and wanted signal power level </w:t>
      </w:r>
      <w:r w:rsidR="00EF64DE">
        <w:t>of</w:t>
      </w:r>
      <w:r>
        <w:t xml:space="preserve"> ACS (Case 1) and IBB.</w:t>
      </w:r>
      <w:bookmarkEnd w:id="4"/>
    </w:p>
    <w:p w14:paraId="1B69CE89" w14:textId="17F2F696" w:rsidR="001772D9" w:rsidRDefault="001772D9" w:rsidP="001772D9">
      <w:pPr>
        <w:pStyle w:val="af3"/>
      </w:pPr>
      <w:bookmarkStart w:id="5" w:name="_Ref126344162"/>
      <w:r>
        <w:t xml:space="preserve">Observation </w:t>
      </w:r>
      <w:fldSimple w:instr=" SEQ Observation \* ARABIC ">
        <w:r>
          <w:rPr>
            <w:noProof/>
          </w:rPr>
          <w:t>3</w:t>
        </w:r>
      </w:fldSimple>
      <w:r>
        <w:t>: ACS (Case 2) is not testable in FR2c.</w:t>
      </w:r>
      <w:bookmarkEnd w:id="5"/>
    </w:p>
    <w:p w14:paraId="34CEC0C5" w14:textId="29B4ADD6" w:rsidR="001772D9" w:rsidRPr="001772D9" w:rsidRDefault="001772D9" w:rsidP="001772D9">
      <w:pPr>
        <w:pStyle w:val="af3"/>
        <w:rPr>
          <w:rFonts w:eastAsiaTheme="minorEastAsia"/>
        </w:rPr>
      </w:pPr>
      <w:bookmarkStart w:id="6" w:name="_Ref126344168"/>
      <w:r>
        <w:t xml:space="preserve">Proposal </w:t>
      </w:r>
      <w:r w:rsidR="001C6C02">
        <w:fldChar w:fldCharType="begin"/>
      </w:r>
      <w:r w:rsidR="001C6C02">
        <w:instrText xml:space="preserve"> SEQ Proposal \* ARABIC </w:instrText>
      </w:r>
      <w:r w:rsidR="001C6C02">
        <w:fldChar w:fldCharType="separate"/>
      </w:r>
      <w:r>
        <w:rPr>
          <w:noProof/>
        </w:rPr>
        <w:t>1</w:t>
      </w:r>
      <w:r w:rsidR="001C6C02">
        <w:rPr>
          <w:noProof/>
        </w:rPr>
        <w:fldChar w:fldCharType="end"/>
      </w:r>
      <w:r>
        <w:t xml:space="preserve">: </w:t>
      </w:r>
      <w:r w:rsidR="00CB6D63">
        <w:t>In ACS (Case 1) and IBB f</w:t>
      </w:r>
      <w:r w:rsidR="00BE1ADF">
        <w:t>or FR2c, a</w:t>
      </w:r>
      <w:r>
        <w:t xml:space="preserve">dopt the relaxation values in </w:t>
      </w:r>
      <w:r>
        <w:fldChar w:fldCharType="begin"/>
      </w:r>
      <w:r>
        <w:instrText xml:space="preserve"> REF _Ref126230353 \h </w:instrText>
      </w:r>
      <w:r>
        <w:fldChar w:fldCharType="separate"/>
      </w:r>
      <w:r w:rsidRPr="008C6C0C">
        <w:t xml:space="preserve">Table </w:t>
      </w:r>
      <w:r>
        <w:rPr>
          <w:noProof/>
        </w:rPr>
        <w:t>1</w:t>
      </w:r>
      <w:r>
        <w:fldChar w:fldCharType="end"/>
      </w:r>
      <w:r>
        <w:t xml:space="preserve"> to </w:t>
      </w:r>
      <w:r w:rsidR="00EF64DE">
        <w:t>the interferer and wanted signal power level.</w:t>
      </w:r>
      <w:bookmarkEnd w:id="6"/>
    </w:p>
    <w:p w14:paraId="0AC9FC38" w14:textId="77777777" w:rsidR="00D45D9B" w:rsidRDefault="00D45D9B" w:rsidP="00D45D9B">
      <w:pPr>
        <w:spacing w:before="120" w:after="120"/>
        <w:rPr>
          <w:rFonts w:eastAsiaTheme="minorEastAsia"/>
        </w:rPr>
      </w:pPr>
    </w:p>
    <w:bookmarkEnd w:id="1"/>
    <w:p w14:paraId="7805E99F" w14:textId="5E261DB7" w:rsidR="001C0EF5" w:rsidRPr="005541AD" w:rsidRDefault="001C6C02"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3FCBBE4"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25AA393D" w14:textId="759EB05B" w:rsidR="00EF64DE" w:rsidRPr="00EF64DE" w:rsidRDefault="00EF64DE" w:rsidP="001C0EF5">
      <w:pPr>
        <w:spacing w:before="120" w:after="120"/>
        <w:rPr>
          <w:rFonts w:eastAsiaTheme="minorEastAsia"/>
          <w:b/>
          <w:bCs/>
          <w:lang w:val="en-GB"/>
        </w:rPr>
      </w:pPr>
      <w:r w:rsidRPr="00EF64DE">
        <w:rPr>
          <w:rFonts w:eastAsiaTheme="minorEastAsia"/>
          <w:b/>
          <w:bCs/>
          <w:lang w:val="en-GB"/>
        </w:rPr>
        <w:fldChar w:fldCharType="begin"/>
      </w:r>
      <w:r w:rsidRPr="00EF64DE">
        <w:rPr>
          <w:rFonts w:eastAsiaTheme="minorEastAsia"/>
          <w:b/>
          <w:bCs/>
          <w:lang w:val="en-GB"/>
        </w:rPr>
        <w:instrText xml:space="preserve"> REF _Ref126344159 \h </w:instrText>
      </w:r>
      <w:r>
        <w:rPr>
          <w:rFonts w:eastAsiaTheme="minorEastAsia"/>
          <w:b/>
          <w:bCs/>
          <w:lang w:val="en-GB"/>
        </w:rPr>
        <w:instrText xml:space="preserve"> \* MERGEFORMAT </w:instrText>
      </w:r>
      <w:r w:rsidRPr="00EF64DE">
        <w:rPr>
          <w:rFonts w:eastAsiaTheme="minorEastAsia"/>
          <w:b/>
          <w:bCs/>
          <w:lang w:val="en-GB"/>
        </w:rPr>
      </w:r>
      <w:r w:rsidRPr="00EF64DE">
        <w:rPr>
          <w:rFonts w:eastAsiaTheme="minorEastAsia"/>
          <w:b/>
          <w:bCs/>
          <w:lang w:val="en-GB"/>
        </w:rPr>
        <w:fldChar w:fldCharType="separate"/>
      </w:r>
      <w:r w:rsidR="002823ED" w:rsidRPr="002823ED">
        <w:rPr>
          <w:b/>
          <w:bCs/>
        </w:rPr>
        <w:t xml:space="preserve">Observation </w:t>
      </w:r>
      <w:r w:rsidR="002823ED" w:rsidRPr="002823ED">
        <w:rPr>
          <w:b/>
          <w:bCs/>
          <w:noProof/>
        </w:rPr>
        <w:t>1</w:t>
      </w:r>
      <w:r w:rsidR="002823ED" w:rsidRPr="002823ED">
        <w:rPr>
          <w:b/>
          <w:bCs/>
        </w:rPr>
        <w:t>: -57 dBm is available for interferer level at the center of the quiet zone for FR2c receiver tests.</w:t>
      </w:r>
      <w:r w:rsidRPr="00EF64DE">
        <w:rPr>
          <w:rFonts w:eastAsiaTheme="minorEastAsia"/>
          <w:b/>
          <w:bCs/>
          <w:lang w:val="en-GB"/>
        </w:rPr>
        <w:fldChar w:fldCharType="end"/>
      </w:r>
    </w:p>
    <w:p w14:paraId="7B5FF9D5" w14:textId="6935D284" w:rsidR="00EF64DE" w:rsidRPr="00EF64DE" w:rsidRDefault="00EF64DE" w:rsidP="001C0EF5">
      <w:pPr>
        <w:spacing w:before="120" w:after="120"/>
        <w:rPr>
          <w:rFonts w:eastAsiaTheme="minorEastAsia"/>
          <w:b/>
          <w:bCs/>
          <w:lang w:val="en-GB"/>
        </w:rPr>
      </w:pPr>
      <w:r w:rsidRPr="00EF64DE">
        <w:rPr>
          <w:rFonts w:eastAsiaTheme="minorEastAsia"/>
          <w:b/>
          <w:bCs/>
          <w:lang w:val="en-GB"/>
        </w:rPr>
        <w:fldChar w:fldCharType="begin"/>
      </w:r>
      <w:r w:rsidRPr="00EF64DE">
        <w:rPr>
          <w:rFonts w:eastAsiaTheme="minorEastAsia"/>
          <w:b/>
          <w:bCs/>
          <w:lang w:val="en-GB"/>
        </w:rPr>
        <w:instrText xml:space="preserve"> REF _Ref126344160 \h </w:instrText>
      </w:r>
      <w:r>
        <w:rPr>
          <w:rFonts w:eastAsiaTheme="minorEastAsia"/>
          <w:b/>
          <w:bCs/>
          <w:lang w:val="en-GB"/>
        </w:rPr>
        <w:instrText xml:space="preserve"> \* MERGEFORMAT </w:instrText>
      </w:r>
      <w:r w:rsidRPr="00EF64DE">
        <w:rPr>
          <w:rFonts w:eastAsiaTheme="minorEastAsia"/>
          <w:b/>
          <w:bCs/>
          <w:lang w:val="en-GB"/>
        </w:rPr>
      </w:r>
      <w:r w:rsidRPr="00EF64DE">
        <w:rPr>
          <w:rFonts w:eastAsiaTheme="minorEastAsia"/>
          <w:b/>
          <w:bCs/>
          <w:lang w:val="en-GB"/>
        </w:rPr>
        <w:fldChar w:fldCharType="separate"/>
      </w:r>
      <w:r w:rsidR="00274EEC" w:rsidRPr="00274EEC">
        <w:rPr>
          <w:b/>
          <w:bCs/>
        </w:rPr>
        <w:t xml:space="preserve">Observation </w:t>
      </w:r>
      <w:r w:rsidR="00274EEC" w:rsidRPr="00274EEC">
        <w:rPr>
          <w:b/>
          <w:bCs/>
          <w:noProof/>
        </w:rPr>
        <w:t>2</w:t>
      </w:r>
      <w:r w:rsidR="00274EEC" w:rsidRPr="00274EEC">
        <w:rPr>
          <w:b/>
          <w:bCs/>
        </w:rPr>
        <w:t>: FR2c requires 3.8 dB (50 MHz ChBW) and 6.8 dB (100 MHz ChBW) for relaxation of the interferer and wanted signal power level of ACS (Case 1) and IBB.</w:t>
      </w:r>
      <w:r w:rsidRPr="00EF64DE">
        <w:rPr>
          <w:rFonts w:eastAsiaTheme="minorEastAsia"/>
          <w:b/>
          <w:bCs/>
          <w:lang w:val="en-GB"/>
        </w:rPr>
        <w:fldChar w:fldCharType="end"/>
      </w:r>
    </w:p>
    <w:p w14:paraId="11C0D639" w14:textId="7A2F1941" w:rsidR="00EF64DE" w:rsidRPr="00EF64DE" w:rsidRDefault="00EF64DE" w:rsidP="001C0EF5">
      <w:pPr>
        <w:spacing w:before="120" w:after="120"/>
        <w:rPr>
          <w:rFonts w:eastAsiaTheme="minorEastAsia"/>
          <w:b/>
          <w:bCs/>
          <w:lang w:val="en-GB"/>
        </w:rPr>
      </w:pPr>
      <w:r w:rsidRPr="00EF64DE">
        <w:rPr>
          <w:rFonts w:eastAsiaTheme="minorEastAsia"/>
          <w:b/>
          <w:bCs/>
          <w:lang w:val="en-GB"/>
        </w:rPr>
        <w:fldChar w:fldCharType="begin"/>
      </w:r>
      <w:r w:rsidRPr="00EF64DE">
        <w:rPr>
          <w:rFonts w:eastAsiaTheme="minorEastAsia"/>
          <w:b/>
          <w:bCs/>
          <w:lang w:val="en-GB"/>
        </w:rPr>
        <w:instrText xml:space="preserve"> REF _Ref126344162 \h </w:instrText>
      </w:r>
      <w:r>
        <w:rPr>
          <w:rFonts w:eastAsiaTheme="minorEastAsia"/>
          <w:b/>
          <w:bCs/>
          <w:lang w:val="en-GB"/>
        </w:rPr>
        <w:instrText xml:space="preserve"> \* MERGEFORMAT </w:instrText>
      </w:r>
      <w:r w:rsidRPr="00EF64DE">
        <w:rPr>
          <w:rFonts w:eastAsiaTheme="minorEastAsia"/>
          <w:b/>
          <w:bCs/>
          <w:lang w:val="en-GB"/>
        </w:rPr>
      </w:r>
      <w:r w:rsidRPr="00EF64DE">
        <w:rPr>
          <w:rFonts w:eastAsiaTheme="minorEastAsia"/>
          <w:b/>
          <w:bCs/>
          <w:lang w:val="en-GB"/>
        </w:rPr>
        <w:fldChar w:fldCharType="separate"/>
      </w:r>
      <w:r w:rsidR="00274EEC" w:rsidRPr="00274EEC">
        <w:rPr>
          <w:b/>
          <w:bCs/>
        </w:rPr>
        <w:t xml:space="preserve">Observation </w:t>
      </w:r>
      <w:r w:rsidR="00274EEC" w:rsidRPr="00274EEC">
        <w:rPr>
          <w:b/>
          <w:bCs/>
          <w:noProof/>
        </w:rPr>
        <w:t>3</w:t>
      </w:r>
      <w:r w:rsidR="00274EEC" w:rsidRPr="00274EEC">
        <w:rPr>
          <w:b/>
          <w:bCs/>
        </w:rPr>
        <w:t>: ACS (Case 2) is not testable in FR2c.</w:t>
      </w:r>
      <w:r w:rsidRPr="00EF64DE">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1A5C2427"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p>
    <w:p w14:paraId="5BE39FB8" w14:textId="7396FCEE" w:rsidR="00EF64DE" w:rsidRPr="009E2EF0" w:rsidRDefault="00EF64DE" w:rsidP="00140429">
      <w:pPr>
        <w:spacing w:before="120" w:after="120"/>
        <w:rPr>
          <w:rFonts w:eastAsiaTheme="minorEastAsia"/>
          <w:b/>
          <w:bCs/>
          <w:lang w:val="en-GB"/>
        </w:rPr>
      </w:pPr>
      <w:r w:rsidRPr="009E2EF0">
        <w:rPr>
          <w:rFonts w:eastAsiaTheme="minorEastAsia"/>
          <w:b/>
          <w:bCs/>
          <w:lang w:val="en-GB"/>
        </w:rPr>
        <w:fldChar w:fldCharType="begin"/>
      </w:r>
      <w:r w:rsidRPr="009E2EF0">
        <w:rPr>
          <w:rFonts w:eastAsiaTheme="minorEastAsia"/>
          <w:b/>
          <w:bCs/>
          <w:lang w:val="en-GB"/>
        </w:rPr>
        <w:instrText xml:space="preserve"> REF _Ref126344168 \h  \* MERGEFORMAT </w:instrText>
      </w:r>
      <w:r w:rsidRPr="009E2EF0">
        <w:rPr>
          <w:rFonts w:eastAsiaTheme="minorEastAsia"/>
          <w:b/>
          <w:bCs/>
          <w:lang w:val="en-GB"/>
        </w:rPr>
      </w:r>
      <w:r w:rsidRPr="009E2EF0">
        <w:rPr>
          <w:rFonts w:eastAsiaTheme="minorEastAsia"/>
          <w:b/>
          <w:bCs/>
          <w:lang w:val="en-GB"/>
        </w:rPr>
        <w:fldChar w:fldCharType="separate"/>
      </w:r>
      <w:r w:rsidR="00274EEC" w:rsidRPr="00274EEC">
        <w:rPr>
          <w:b/>
          <w:bCs/>
        </w:rPr>
        <w:t xml:space="preserve">Proposal </w:t>
      </w:r>
      <w:r w:rsidR="00274EEC" w:rsidRPr="00274EEC">
        <w:rPr>
          <w:b/>
          <w:bCs/>
          <w:noProof/>
        </w:rPr>
        <w:t>1</w:t>
      </w:r>
      <w:r w:rsidR="00274EEC" w:rsidRPr="00274EEC">
        <w:rPr>
          <w:b/>
          <w:bCs/>
        </w:rPr>
        <w:t xml:space="preserve">: In ACS (Case 1) and </w:t>
      </w:r>
      <w:r w:rsidR="00274EEC" w:rsidRPr="00274EEC">
        <w:rPr>
          <w:b/>
          <w:bCs/>
          <w:noProof/>
        </w:rPr>
        <w:t>IBB</w:t>
      </w:r>
      <w:r w:rsidR="00274EEC" w:rsidRPr="00274EEC">
        <w:rPr>
          <w:b/>
          <w:bCs/>
        </w:rPr>
        <w:t xml:space="preserve"> for FR2c, adopt the relaxation values in Table 1 to the interferer and wanted signal power level.</w:t>
      </w:r>
      <w:r w:rsidRPr="009E2EF0">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lastRenderedPageBreak/>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25727CD0" w:rsidR="005F369C" w:rsidRDefault="005F369C" w:rsidP="007F2122">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Pr="005F369C">
        <w:rPr>
          <w:rFonts w:eastAsiaTheme="minorEastAsia"/>
        </w:rPr>
        <w:t>R5-197497</w:t>
      </w:r>
      <w:r>
        <w:rPr>
          <w:rFonts w:eastAsiaTheme="minorEastAsia"/>
        </w:rPr>
        <w:t>, “</w:t>
      </w:r>
      <w:r w:rsidRPr="005F369C">
        <w:rPr>
          <w:rFonts w:eastAsiaTheme="minorEastAsia"/>
        </w:rPr>
        <w:t>Discussion on testability of ACS and IBB</w:t>
      </w:r>
      <w:r>
        <w:rPr>
          <w:rFonts w:eastAsiaTheme="minorEastAsia"/>
        </w:rPr>
        <w:t xml:space="preserve">”, </w:t>
      </w:r>
      <w:r w:rsidRPr="005F369C">
        <w:rPr>
          <w:rFonts w:eastAsiaTheme="minorEastAsia"/>
        </w:rPr>
        <w:t>Rohde &amp; Schwarz, Anritsu, Keysight Technologies</w:t>
      </w:r>
      <w:r>
        <w:rPr>
          <w:rFonts w:eastAsiaTheme="minorEastAsia"/>
        </w:rPr>
        <w:t>, RAN5#84</w:t>
      </w:r>
    </w:p>
    <w:p w14:paraId="342AFC46" w14:textId="521EF53E" w:rsidR="000E2E89" w:rsidRDefault="000E2E89" w:rsidP="000E2E89">
      <w:pPr>
        <w:spacing w:before="120" w:after="120"/>
        <w:ind w:left="300" w:hangingChars="150" w:hanging="300"/>
        <w:rPr>
          <w:rFonts w:eastAsiaTheme="minorEastAsia"/>
        </w:rPr>
      </w:pPr>
      <w:r>
        <w:rPr>
          <w:rFonts w:eastAsiaTheme="minorEastAsia" w:hint="eastAsia"/>
        </w:rPr>
        <w:t>[</w:t>
      </w:r>
      <w:r>
        <w:rPr>
          <w:rFonts w:eastAsiaTheme="minorEastAsia"/>
        </w:rPr>
        <w:t>2] TS 38.101-2, “</w:t>
      </w:r>
      <w:r w:rsidRPr="000E2E89">
        <w:rPr>
          <w:rFonts w:eastAsiaTheme="minorEastAsia"/>
        </w:rPr>
        <w:t>User Equipment (UE) radio transmission and reception;</w:t>
      </w:r>
      <w:r>
        <w:rPr>
          <w:rFonts w:eastAsiaTheme="minorEastAsia" w:hint="eastAsia"/>
        </w:rPr>
        <w:t xml:space="preserve"> </w:t>
      </w:r>
      <w:r w:rsidRPr="000E2E89">
        <w:rPr>
          <w:rFonts w:eastAsiaTheme="minorEastAsia"/>
        </w:rPr>
        <w:t>Part 2: Range 2 Standalone</w:t>
      </w:r>
      <w:r>
        <w:rPr>
          <w:rFonts w:eastAsiaTheme="minorEastAsia"/>
        </w:rPr>
        <w:t>”, V18.0.0</w:t>
      </w:r>
    </w:p>
    <w:p w14:paraId="0B8140EA" w14:textId="3865DA23" w:rsidR="007F2122" w:rsidRPr="0006078D" w:rsidRDefault="007F2122" w:rsidP="00AC7F79">
      <w:pPr>
        <w:spacing w:before="120" w:after="120"/>
        <w:ind w:left="300" w:hangingChars="150" w:hanging="300"/>
        <w:rPr>
          <w:rFonts w:eastAsiaTheme="minorEastAsia"/>
        </w:rPr>
      </w:pPr>
    </w:p>
    <w:p w14:paraId="6AA46517" w14:textId="77777777" w:rsidR="00880627" w:rsidRPr="008C6C0C" w:rsidRDefault="001C6C02"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71E0" w14:textId="77777777" w:rsidR="007D5A29" w:rsidRDefault="007D5A29" w:rsidP="00752C85">
      <w:pPr>
        <w:spacing w:before="120" w:after="120"/>
      </w:pPr>
      <w:r>
        <w:separator/>
      </w:r>
    </w:p>
    <w:p w14:paraId="1C3A7512" w14:textId="77777777" w:rsidR="007D5A29" w:rsidRDefault="007D5A29" w:rsidP="00752C85">
      <w:pPr>
        <w:spacing w:before="120" w:after="120"/>
      </w:pPr>
    </w:p>
  </w:endnote>
  <w:endnote w:type="continuationSeparator" w:id="0">
    <w:p w14:paraId="56F92BA6" w14:textId="77777777" w:rsidR="007D5A29" w:rsidRDefault="007D5A29" w:rsidP="00752C85">
      <w:pPr>
        <w:spacing w:before="120" w:after="120"/>
      </w:pPr>
      <w:r>
        <w:continuationSeparator/>
      </w:r>
    </w:p>
    <w:p w14:paraId="300C6429" w14:textId="77777777" w:rsidR="007D5A29" w:rsidRDefault="007D5A29"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DA711" w14:textId="77777777" w:rsidR="007D5A29" w:rsidRDefault="007D5A29" w:rsidP="00752C85">
      <w:pPr>
        <w:spacing w:before="120" w:after="120"/>
      </w:pPr>
      <w:r>
        <w:separator/>
      </w:r>
    </w:p>
    <w:p w14:paraId="287EFE5C" w14:textId="77777777" w:rsidR="007D5A29" w:rsidRDefault="007D5A29" w:rsidP="00752C85">
      <w:pPr>
        <w:spacing w:before="120" w:after="120"/>
      </w:pPr>
    </w:p>
  </w:footnote>
  <w:footnote w:type="continuationSeparator" w:id="0">
    <w:p w14:paraId="74A7DE3D" w14:textId="77777777" w:rsidR="007D5A29" w:rsidRDefault="007D5A29" w:rsidP="00752C85">
      <w:pPr>
        <w:spacing w:before="120" w:after="120"/>
      </w:pPr>
      <w:r>
        <w:continuationSeparator/>
      </w:r>
    </w:p>
    <w:p w14:paraId="6705AE30" w14:textId="77777777" w:rsidR="007D5A29" w:rsidRDefault="007D5A29"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8"/>
  </w:num>
  <w:num w:numId="5" w16cid:durableId="1034379993">
    <w:abstractNumId w:val="9"/>
  </w:num>
  <w:num w:numId="6" w16cid:durableId="45690955">
    <w:abstractNumId w:val="5"/>
  </w:num>
  <w:num w:numId="7" w16cid:durableId="2063601759">
    <w:abstractNumId w:val="14"/>
  </w:num>
  <w:num w:numId="8" w16cid:durableId="820997827">
    <w:abstractNumId w:val="21"/>
  </w:num>
  <w:num w:numId="9" w16cid:durableId="1274241398">
    <w:abstractNumId w:val="39"/>
  </w:num>
  <w:num w:numId="10" w16cid:durableId="521481304">
    <w:abstractNumId w:val="27"/>
  </w:num>
  <w:num w:numId="11" w16cid:durableId="964116271">
    <w:abstractNumId w:val="4"/>
  </w:num>
  <w:num w:numId="12" w16cid:durableId="1089734964">
    <w:abstractNumId w:val="36"/>
  </w:num>
  <w:num w:numId="13" w16cid:durableId="487064392">
    <w:abstractNumId w:val="28"/>
  </w:num>
  <w:num w:numId="14" w16cid:durableId="482087542">
    <w:abstractNumId w:val="19"/>
  </w:num>
  <w:num w:numId="15" w16cid:durableId="336269866">
    <w:abstractNumId w:val="26"/>
  </w:num>
  <w:num w:numId="16" w16cid:durableId="1203709393">
    <w:abstractNumId w:val="31"/>
  </w:num>
  <w:num w:numId="17" w16cid:durableId="1937444960">
    <w:abstractNumId w:val="7"/>
  </w:num>
  <w:num w:numId="18" w16cid:durableId="1684700192">
    <w:abstractNumId w:val="25"/>
  </w:num>
  <w:num w:numId="19" w16cid:durableId="1012607866">
    <w:abstractNumId w:val="23"/>
  </w:num>
  <w:num w:numId="20" w16cid:durableId="999424878">
    <w:abstractNumId w:val="0"/>
  </w:num>
  <w:num w:numId="21" w16cid:durableId="1136604159">
    <w:abstractNumId w:val="30"/>
  </w:num>
  <w:num w:numId="22" w16cid:durableId="1798909646">
    <w:abstractNumId w:val="37"/>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0"/>
  </w:num>
  <w:num w:numId="30" w16cid:durableId="775368972">
    <w:abstractNumId w:val="33"/>
  </w:num>
  <w:num w:numId="31" w16cid:durableId="1125654647">
    <w:abstractNumId w:val="35"/>
  </w:num>
  <w:num w:numId="32" w16cid:durableId="359666017">
    <w:abstractNumId w:val="12"/>
  </w:num>
  <w:num w:numId="33" w16cid:durableId="843478904">
    <w:abstractNumId w:val="18"/>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6"/>
  </w:num>
  <w:num w:numId="41" w16cid:durableId="96410094">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B6D6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22685</TotalTime>
  <Pages>2</Pages>
  <Words>428</Words>
  <Characters>2442</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185</cp:revision>
  <cp:lastPrinted>2007-04-23T23:59:00Z</cp:lastPrinted>
  <dcterms:created xsi:type="dcterms:W3CDTF">2021-01-20T00:58:00Z</dcterms:created>
  <dcterms:modified xsi:type="dcterms:W3CDTF">2023-02-10T09:09:00Z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